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00E" w:rsidRPr="00DA400E" w:rsidRDefault="00DA400E" w:rsidP="00DA400E">
      <w:pPr>
        <w:spacing w:after="0" w:line="240" w:lineRule="auto"/>
        <w:ind w:left="210" w:right="210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A400E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>VIDEO GAMES: A COLLEGE SPORT?</w:t>
      </w:r>
      <w:bookmarkStart w:id="0" w:name="_GoBack"/>
      <w:bookmarkEnd w:id="0"/>
    </w:p>
    <w:p w:rsidR="00DA400E" w:rsidRPr="00DA400E" w:rsidRDefault="00DA400E" w:rsidP="00DA400E">
      <w:pPr>
        <w:spacing w:after="0" w:line="240" w:lineRule="auto"/>
        <w:ind w:left="210" w:right="210"/>
        <w:jc w:val="center"/>
        <w:textAlignment w:val="baseline"/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DA400E" w:rsidRP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>HOMEWORK</w:t>
      </w:r>
      <w:r w:rsidRPr="00DA400E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>: Read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and annotate the article.  Next</w:t>
      </w:r>
      <w:r w:rsidRPr="00DA400E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, write a multi-paragraph essay 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>(Five</w:t>
      </w:r>
      <w:r w:rsidRPr="00DA400E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paragraphs: Intro, three body paragraphs for the three reasons, conclusion) arguing whether </w:t>
      </w:r>
      <w:r w:rsidRPr="00DA400E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videogames are more harmful or more helpful to young people</w:t>
      </w:r>
      <w:r w:rsidRPr="00DA400E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.</w:t>
      </w:r>
    </w:p>
    <w:p w:rsid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DA400E" w:rsidRP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ST. LOUIS, Missouri 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(Achieve3000, November 29, 2017).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Being gifted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in a sport like football or track and field can help a student get into college. That student might even receive financial aid.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But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what if a student can score the most points in a video game such as </w:t>
      </w:r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StarCraft II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, </w:t>
      </w:r>
      <w:proofErr w:type="spellStart"/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Overwatch</w:t>
      </w:r>
      <w:proofErr w:type="spellEnd"/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,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or</w:t>
      </w:r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 xml:space="preserve"> League of Legends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?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Traditionally, a gamer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wouldn't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be asked to play for a college or university. The student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wouldn't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get financial aid. However, things have changed. Today, playing video games is the newest varsity sport at some colleges. These electronic sports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are known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as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. Some gamers even get financial aid.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This is good news, according to officials at the National Association of Collegiate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(NACE). The group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was formed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in 2016. It promotes the growth of college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. It also establishes rules for these games.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Michael Brooks heads NACE. He says that in 2014, only about seven colleges and universities in the U.S. had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programs.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That's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changed. By the end of the 2016–2017 school year, nearly 30 schools with new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programs had joined NACE.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Just as they do with traditional athletes, schools invite the best players to join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teams.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And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like traditional athletes,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players must keep up their grades. Playing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can lead to the chance to play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professionally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after college.</w:t>
      </w:r>
    </w:p>
    <w:p w:rsidR="00DA400E" w:rsidRP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The game </w:t>
      </w:r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League of Legends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, for example, was the centerpiece of the 2017 Mid-Seasonal Invitational. It was a professional tournament. Players from 13 regions played for a title. The winning team was from South Korea. It won nearly $700,000. That kind of money may make students want to set up careers in gaming.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But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Tom Brock questions gaming as a form of work. Brock is a professor at Manchester Metropolitan University. He said that games do help players develop a set of goals. It gives them a sense of accomplishment.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But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there are downsides. Few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groups pay salaries. Gamers rely on prize money for pay. Brock said this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can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cause players to socialize less to get more playing hours. This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has been shown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to have a bad effect on well-being. He also says that, like a traditional sports career, a career in gaming will probably end at a young age.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But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there's no denying that the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community is growing. For college students,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do offer new opportunities. Kenneth Lam works with the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program at Maryville University in St. Louis, Missouri. Lam says the five-member video game team at Maryville works hard. Members practice for three hours at a time. They do this up to three nights a week. That effort has paid off since the school started its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program in 2015.</w:t>
      </w:r>
    </w:p>
    <w:p w:rsidR="00DA400E" w:rsidRP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As an audience watched the action unfold on a large screen, Maryville's team defeated eight other North American schools to win the </w:t>
      </w:r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League of Legends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College Championships. That was May 2017. Months later, the students from Maryville won third place at the </w:t>
      </w:r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League of Legends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International College Cup in Wuhan, China.</w:t>
      </w:r>
    </w:p>
    <w:p w:rsidR="00DA400E" w:rsidRP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"It's really exciting to see how much we have [been able to do] for the past two years," Lam said.</w:t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br/>
      </w: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br/>
        <w:t xml:space="preserve">Lam believes that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are going to increase in popularity. One sign of this is that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competitions </w:t>
      </w:r>
      <w:proofErr w:type="gram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are now being shown</w:t>
      </w:r>
      <w:proofErr w:type="gram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on TV.</w:t>
      </w:r>
    </w:p>
    <w:p w:rsidR="00DA400E" w:rsidRPr="00DA400E" w:rsidRDefault="00DA400E" w:rsidP="00DA400E">
      <w:pPr>
        <w:spacing w:before="180" w:after="18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Colleges that have tapped into the growing popularity of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are already seeing the rewards. For example, the number of new students attending Maryville grew by 45 percent between 2015 and 2016. Lam said he credits that increase to </w:t>
      </w:r>
      <w:proofErr w:type="spellStart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esports</w:t>
      </w:r>
      <w:proofErr w:type="spellEnd"/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t>.</w:t>
      </w:r>
    </w:p>
    <w:p w:rsidR="00DA400E" w:rsidRPr="00DA400E" w:rsidRDefault="00DA400E" w:rsidP="00DA400E">
      <w:pPr>
        <w:spacing w:after="0" w:line="240" w:lineRule="auto"/>
        <w:ind w:left="210" w:right="210"/>
        <w:textAlignment w:val="baseline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A400E">
        <w:rPr>
          <w:rFonts w:ascii="&amp;quot" w:eastAsia="Times New Roman" w:hAnsi="&amp;quot" w:cs="Times New Roman"/>
          <w:i/>
          <w:iCs/>
          <w:color w:val="000000"/>
          <w:sz w:val="20"/>
          <w:szCs w:val="20"/>
          <w:bdr w:val="none" w:sz="0" w:space="0" w:color="auto" w:frame="1"/>
        </w:rPr>
        <w:t>Voice of America contributed to this story.</w:t>
      </w:r>
    </w:p>
    <w:p w:rsidR="00DA400E" w:rsidRPr="00DA400E" w:rsidRDefault="00DA400E" w:rsidP="00DA4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00E">
        <w:rPr>
          <w:rFonts w:ascii="&amp;quot" w:eastAsia="Times New Roman" w:hAnsi="&amp;quot" w:cs="Times New Roman"/>
          <w:color w:val="000000"/>
          <w:sz w:val="20"/>
          <w:szCs w:val="20"/>
        </w:rPr>
        <w:br w:type="textWrapping" w:clear="all"/>
      </w:r>
    </w:p>
    <w:p w:rsidR="00DA400E" w:rsidRPr="00DA400E" w:rsidRDefault="00DA400E" w:rsidP="00DA400E">
      <w:pPr>
        <w:spacing w:after="60" w:line="240" w:lineRule="auto"/>
        <w:ind w:left="210" w:right="60"/>
        <w:textAlignment w:val="baseline"/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</w:rPr>
      </w:pPr>
      <w:r w:rsidRPr="00DA400E">
        <w:rPr>
          <w:rFonts w:ascii="&amp;quot" w:eastAsia="Times New Roman" w:hAnsi="&amp;quot" w:cs="Times New Roman"/>
          <w:b/>
          <w:bCs/>
          <w:color w:val="000000"/>
          <w:sz w:val="21"/>
          <w:szCs w:val="21"/>
          <w:u w:val="single"/>
        </w:rPr>
        <w:t>Dictionary</w:t>
      </w:r>
    </w:p>
    <w:tbl>
      <w:tblPr>
        <w:tblW w:w="951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DA400E" w:rsidRPr="00DA400E" w:rsidTr="00DA4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400E" w:rsidRPr="00DA400E" w:rsidRDefault="00DA400E" w:rsidP="00DA400E">
            <w:pPr>
              <w:spacing w:after="0" w:line="240" w:lineRule="auto"/>
              <w:ind w:left="60" w:right="60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</w:rPr>
            </w:pPr>
            <w:r w:rsidRPr="00DA400E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bdr w:val="none" w:sz="0" w:space="0" w:color="auto" w:frame="1"/>
              </w:rPr>
              <w:t>financial aid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</w:t>
            </w:r>
            <w:r w:rsidRPr="00DA400E">
              <w:rPr>
                <w:rFonts w:ascii="&amp;quot" w:eastAsia="Times New Roman" w:hAnsi="&amp;quot" w:cs="Times New Roman"/>
                <w:i/>
                <w:iCs/>
                <w:sz w:val="20"/>
                <w:szCs w:val="20"/>
                <w:bdr w:val="none" w:sz="0" w:space="0" w:color="auto" w:frame="1"/>
              </w:rPr>
              <w:t>(noun)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   money that is given to a student to help him or her pay for school</w:t>
            </w:r>
          </w:p>
        </w:tc>
      </w:tr>
      <w:tr w:rsidR="00DA400E" w:rsidRPr="00DA400E" w:rsidTr="00DA4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400E" w:rsidRPr="00DA400E" w:rsidRDefault="00DA400E" w:rsidP="00DA400E">
            <w:pPr>
              <w:spacing w:after="0" w:line="240" w:lineRule="auto"/>
              <w:ind w:left="60" w:right="60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</w:rPr>
            </w:pPr>
            <w:r w:rsidRPr="00DA400E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bdr w:val="none" w:sz="0" w:space="0" w:color="auto" w:frame="1"/>
              </w:rPr>
              <w:t>professionally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</w:t>
            </w:r>
            <w:r w:rsidRPr="00DA400E">
              <w:rPr>
                <w:rFonts w:ascii="&amp;quot" w:eastAsia="Times New Roman" w:hAnsi="&amp;quot" w:cs="Times New Roman"/>
                <w:i/>
                <w:iCs/>
                <w:sz w:val="20"/>
                <w:szCs w:val="20"/>
                <w:bdr w:val="none" w:sz="0" w:space="0" w:color="auto" w:frame="1"/>
              </w:rPr>
              <w:t>(adverb)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   as a job, not just for fun</w:t>
            </w:r>
          </w:p>
        </w:tc>
      </w:tr>
      <w:tr w:rsidR="00DA400E" w:rsidRPr="00DA400E" w:rsidTr="00DA4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400E" w:rsidRPr="00DA400E" w:rsidRDefault="00DA400E" w:rsidP="00DA400E">
            <w:pPr>
              <w:spacing w:after="0" w:line="240" w:lineRule="auto"/>
              <w:ind w:left="60" w:right="60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</w:rPr>
            </w:pPr>
            <w:r w:rsidRPr="00DA400E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bdr w:val="none" w:sz="0" w:space="0" w:color="auto" w:frame="1"/>
              </w:rPr>
              <w:t>promote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</w:t>
            </w:r>
            <w:r w:rsidRPr="00DA400E">
              <w:rPr>
                <w:rFonts w:ascii="&amp;quot" w:eastAsia="Times New Roman" w:hAnsi="&amp;quot" w:cs="Times New Roman"/>
                <w:i/>
                <w:iCs/>
                <w:sz w:val="20"/>
                <w:szCs w:val="20"/>
                <w:bdr w:val="none" w:sz="0" w:space="0" w:color="auto" w:frame="1"/>
              </w:rPr>
              <w:t>(verb)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   to help make something happen</w:t>
            </w:r>
          </w:p>
        </w:tc>
      </w:tr>
      <w:tr w:rsidR="00DA400E" w:rsidRPr="00DA400E" w:rsidTr="00DA4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400E" w:rsidRPr="00DA400E" w:rsidRDefault="00DA400E" w:rsidP="00DA400E">
            <w:pPr>
              <w:spacing w:after="0" w:line="240" w:lineRule="auto"/>
              <w:ind w:left="60" w:right="60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</w:rPr>
            </w:pPr>
            <w:r w:rsidRPr="00DA400E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bdr w:val="none" w:sz="0" w:space="0" w:color="auto" w:frame="1"/>
              </w:rPr>
              <w:t>socialize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</w:t>
            </w:r>
            <w:r w:rsidRPr="00DA400E">
              <w:rPr>
                <w:rFonts w:ascii="&amp;quot" w:eastAsia="Times New Roman" w:hAnsi="&amp;quot" w:cs="Times New Roman"/>
                <w:i/>
                <w:iCs/>
                <w:sz w:val="20"/>
                <w:szCs w:val="20"/>
                <w:bdr w:val="none" w:sz="0" w:space="0" w:color="auto" w:frame="1"/>
              </w:rPr>
              <w:t>(verb)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   to do things with other people</w:t>
            </w:r>
          </w:p>
        </w:tc>
      </w:tr>
      <w:tr w:rsidR="00DA400E" w:rsidRPr="00DA400E" w:rsidTr="00DA400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DA400E" w:rsidRPr="00DA400E" w:rsidRDefault="00DA400E" w:rsidP="00DA400E">
            <w:pPr>
              <w:spacing w:after="0" w:line="240" w:lineRule="auto"/>
              <w:ind w:left="60" w:right="60"/>
              <w:textAlignment w:val="baseline"/>
              <w:rPr>
                <w:rFonts w:ascii="&amp;quot" w:eastAsia="Times New Roman" w:hAnsi="&amp;quot" w:cs="Times New Roman"/>
                <w:sz w:val="20"/>
                <w:szCs w:val="20"/>
              </w:rPr>
            </w:pPr>
            <w:r w:rsidRPr="00DA400E">
              <w:rPr>
                <w:rFonts w:ascii="&amp;quot" w:eastAsia="Times New Roman" w:hAnsi="&amp;quot" w:cs="Times New Roman"/>
                <w:b/>
                <w:bCs/>
                <w:sz w:val="20"/>
                <w:szCs w:val="20"/>
                <w:bdr w:val="none" w:sz="0" w:space="0" w:color="auto" w:frame="1"/>
              </w:rPr>
              <w:t>varsity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</w:t>
            </w:r>
            <w:r w:rsidRPr="00DA400E">
              <w:rPr>
                <w:rFonts w:ascii="&amp;quot" w:eastAsia="Times New Roman" w:hAnsi="&amp;quot" w:cs="Times New Roman"/>
                <w:i/>
                <w:iCs/>
                <w:sz w:val="20"/>
                <w:szCs w:val="20"/>
                <w:bdr w:val="none" w:sz="0" w:space="0" w:color="auto" w:frame="1"/>
              </w:rPr>
              <w:t>(noun)</w:t>
            </w:r>
            <w:r w:rsidRPr="00DA400E">
              <w:rPr>
                <w:rFonts w:ascii="&amp;quot" w:eastAsia="Times New Roman" w:hAnsi="&amp;quot" w:cs="Times New Roman"/>
                <w:sz w:val="20"/>
                <w:szCs w:val="20"/>
              </w:rPr>
              <w:t xml:space="preserve">    the main athletic team representing a college or other school</w:t>
            </w:r>
          </w:p>
        </w:tc>
      </w:tr>
    </w:tbl>
    <w:p w:rsidR="00DA400E" w:rsidRDefault="00DA400E"/>
    <w:sectPr w:rsidR="00DA400E" w:rsidSect="00DA4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0E"/>
    <w:rsid w:val="00027657"/>
    <w:rsid w:val="0089383D"/>
    <w:rsid w:val="00B138FD"/>
    <w:rsid w:val="00D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2E3D"/>
  <w15:chartTrackingRefBased/>
  <w15:docId w15:val="{A0590701-BE6F-4F8B-A611-2C56C2C4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00E"/>
    <w:rPr>
      <w:b/>
      <w:bCs/>
    </w:rPr>
  </w:style>
  <w:style w:type="character" w:styleId="Emphasis">
    <w:name w:val="Emphasis"/>
    <w:basedOn w:val="DefaultParagraphFont"/>
    <w:uiPriority w:val="20"/>
    <w:qFormat/>
    <w:rsid w:val="00DA400E"/>
    <w:rPr>
      <w:i/>
      <w:iCs/>
    </w:rPr>
  </w:style>
  <w:style w:type="paragraph" w:customStyle="1" w:styleId="dictionaryheader">
    <w:name w:val="dictionaryheader"/>
    <w:basedOn w:val="Normal"/>
    <w:rsid w:val="00D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tionary">
    <w:name w:val="dictionary"/>
    <w:basedOn w:val="Normal"/>
    <w:rsid w:val="00DA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612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Koval, Rachel</dc:creator>
  <cp:keywords/>
  <dc:description/>
  <cp:lastModifiedBy>Koval, Rachel</cp:lastModifiedBy>
  <cp:revision>3</cp:revision>
  <dcterms:created xsi:type="dcterms:W3CDTF">2020-02-11T16:13:00Z</dcterms:created>
  <dcterms:modified xsi:type="dcterms:W3CDTF">2020-02-11T16:20:00Z</dcterms:modified>
</cp:coreProperties>
</file>